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770D4" w14:textId="50016A51" w:rsidR="00953765" w:rsidRPr="00953765" w:rsidRDefault="00953765" w:rsidP="00953765">
      <w:pPr>
        <w:ind w:left="630" w:hanging="360"/>
        <w:jc w:val="center"/>
        <w:rPr>
          <w:rFonts w:ascii="Century Gothic" w:hAnsi="Century Gothic"/>
        </w:rPr>
      </w:pPr>
      <w:r>
        <w:rPr>
          <w:noProof/>
          <w:color w:val="1F497D"/>
        </w:rPr>
        <w:drawing>
          <wp:inline distT="0" distB="0" distL="0" distR="0" wp14:anchorId="5BB6146F" wp14:editId="37AC42E2">
            <wp:extent cx="876300" cy="580361"/>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wapalogo  0416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570" cy="599084"/>
                    </a:xfrm>
                    <a:prstGeom prst="rect">
                      <a:avLst/>
                    </a:prstGeom>
                  </pic:spPr>
                </pic:pic>
              </a:graphicData>
            </a:graphic>
          </wp:inline>
        </w:drawing>
      </w:r>
      <w:r>
        <w:rPr>
          <w:color w:val="1F497D"/>
        </w:rPr>
        <w:br/>
      </w:r>
      <w:r w:rsidRPr="00953765">
        <w:rPr>
          <w:rFonts w:ascii="Century Gothic" w:hAnsi="Century Gothic"/>
          <w:b/>
          <w:bCs/>
        </w:rPr>
        <w:br/>
        <w:t>WAPA needs every PA to be a member so we can protect your practice rights!</w:t>
      </w:r>
    </w:p>
    <w:p w14:paraId="4A1E2AFC" w14:textId="0AE2E103" w:rsidR="00100596" w:rsidRPr="00380CDF" w:rsidRDefault="00953765" w:rsidP="00100596">
      <w:pPr>
        <w:ind w:left="630" w:hanging="360"/>
        <w:rPr>
          <w:rFonts w:ascii="Century Gothic" w:hAnsi="Century Gothic"/>
          <w:b/>
          <w:bCs/>
        </w:rPr>
      </w:pPr>
      <w:r w:rsidRPr="00953765">
        <w:rPr>
          <w:rFonts w:ascii="Century Gothic" w:hAnsi="Century Gothic"/>
        </w:rPr>
        <w:br/>
      </w:r>
      <w:r w:rsidR="00100596" w:rsidRPr="00380CDF">
        <w:rPr>
          <w:rFonts w:ascii="Century Gothic" w:hAnsi="Century Gothic"/>
          <w:b/>
          <w:bCs/>
        </w:rPr>
        <w:t>5</w:t>
      </w:r>
      <w:r w:rsidRPr="00380CDF">
        <w:rPr>
          <w:rFonts w:ascii="Century Gothic" w:hAnsi="Century Gothic"/>
          <w:b/>
          <w:bCs/>
        </w:rPr>
        <w:t xml:space="preserve"> T</w:t>
      </w:r>
      <w:r w:rsidR="00100596" w:rsidRPr="00380CDF">
        <w:rPr>
          <w:rFonts w:ascii="Century Gothic" w:hAnsi="Century Gothic"/>
          <w:b/>
          <w:bCs/>
        </w:rPr>
        <w:t>alking Points for SB 5411</w:t>
      </w:r>
    </w:p>
    <w:p w14:paraId="55965A39" w14:textId="548B7311" w:rsidR="00100596" w:rsidRPr="00953765" w:rsidRDefault="00100596" w:rsidP="00100596">
      <w:pPr>
        <w:pStyle w:val="PlainText"/>
        <w:numPr>
          <w:ilvl w:val="0"/>
          <w:numId w:val="1"/>
        </w:numPr>
        <w:rPr>
          <w:rFonts w:ascii="Century Gothic" w:hAnsi="Century Gothic"/>
        </w:rPr>
      </w:pPr>
      <w:r w:rsidRPr="00953765">
        <w:rPr>
          <w:rFonts w:ascii="Century Gothic" w:hAnsi="Century Gothic"/>
        </w:rPr>
        <w:t>It removes the burden of employers and PAs filing delegation agreements with the Medical Commission, allowing the agreement to be kept locally as part of the PA’s hiring contract. This allows more fluidity to move from area to area within a system, or to a new job, without waiting for weeks to “get permission” to begin providing care to patients. The practice can decide how much oversite a new grad needs as orientation and remove those restrictions once they are satisfied with their performance; without needing to send any changes to the state. It all remains at the practice leve</w:t>
      </w:r>
      <w:r w:rsidR="00953765" w:rsidRPr="00953765">
        <w:rPr>
          <w:rFonts w:ascii="Century Gothic" w:hAnsi="Century Gothic"/>
        </w:rPr>
        <w:t>l.</w:t>
      </w:r>
      <w:r w:rsidR="00953765" w:rsidRPr="00953765">
        <w:rPr>
          <w:rFonts w:ascii="Century Gothic" w:hAnsi="Century Gothic"/>
        </w:rPr>
        <w:br/>
      </w:r>
      <w:r w:rsidRPr="00953765">
        <w:rPr>
          <w:rFonts w:ascii="Century Gothic" w:hAnsi="Century Gothic"/>
        </w:rPr>
        <w:t xml:space="preserve"> </w:t>
      </w:r>
    </w:p>
    <w:p w14:paraId="7AD2ECC8" w14:textId="5A47CE78" w:rsidR="00100596" w:rsidRPr="00953765" w:rsidRDefault="00100596" w:rsidP="00100596">
      <w:pPr>
        <w:pStyle w:val="PlainText"/>
        <w:numPr>
          <w:ilvl w:val="0"/>
          <w:numId w:val="1"/>
        </w:numPr>
        <w:rPr>
          <w:rFonts w:ascii="Century Gothic" w:hAnsi="Century Gothic"/>
        </w:rPr>
      </w:pPr>
      <w:r w:rsidRPr="00953765">
        <w:rPr>
          <w:rFonts w:ascii="Century Gothic" w:hAnsi="Century Gothic"/>
        </w:rPr>
        <w:t xml:space="preserve">It places the professional and personal responsibility of any act/decisions made by the PA </w:t>
      </w:r>
      <w:r w:rsidRPr="00953765">
        <w:rPr>
          <w:rFonts w:ascii="Century Gothic" w:hAnsi="Century Gothic"/>
          <w:i/>
          <w:iCs/>
        </w:rPr>
        <w:t>solely on the PA</w:t>
      </w:r>
      <w:r w:rsidRPr="00953765">
        <w:rPr>
          <w:rFonts w:ascii="Century Gothic" w:hAnsi="Century Gothic"/>
        </w:rPr>
        <w:t>, not on the participating physician so physicians can be reassured that they are not going to lose their license if a PA “does something wrong”</w:t>
      </w:r>
      <w:r w:rsidR="00953765" w:rsidRPr="00953765">
        <w:rPr>
          <w:rFonts w:ascii="Century Gothic" w:hAnsi="Century Gothic"/>
        </w:rPr>
        <w:br/>
      </w:r>
    </w:p>
    <w:p w14:paraId="08D2BFA7" w14:textId="23BE2C76" w:rsidR="00100596" w:rsidRPr="00953765" w:rsidRDefault="00100596" w:rsidP="00100596">
      <w:pPr>
        <w:pStyle w:val="PlainText"/>
        <w:numPr>
          <w:ilvl w:val="0"/>
          <w:numId w:val="1"/>
        </w:numPr>
        <w:rPr>
          <w:rFonts w:ascii="Century Gothic" w:hAnsi="Century Gothic"/>
        </w:rPr>
      </w:pPr>
      <w:r w:rsidRPr="00953765">
        <w:rPr>
          <w:rFonts w:ascii="Century Gothic" w:hAnsi="Century Gothic"/>
        </w:rPr>
        <w:t>It removes any physician/PA ratios at the practice site</w:t>
      </w:r>
      <w:r w:rsidR="00953765" w:rsidRPr="00953765">
        <w:rPr>
          <w:rFonts w:ascii="Century Gothic" w:hAnsi="Century Gothic"/>
        </w:rPr>
        <w:br/>
      </w:r>
    </w:p>
    <w:p w14:paraId="687F9428" w14:textId="1E5F9AB9" w:rsidR="00953765" w:rsidRPr="00953765" w:rsidRDefault="00100596" w:rsidP="00100596">
      <w:pPr>
        <w:pStyle w:val="PlainText"/>
        <w:numPr>
          <w:ilvl w:val="0"/>
          <w:numId w:val="1"/>
        </w:numPr>
        <w:rPr>
          <w:rFonts w:ascii="Century Gothic" w:hAnsi="Century Gothic"/>
        </w:rPr>
      </w:pPr>
      <w:r w:rsidRPr="00953765">
        <w:rPr>
          <w:rFonts w:ascii="Century Gothic" w:hAnsi="Century Gothic"/>
        </w:rPr>
        <w:t>It removes any remote site restrictions</w:t>
      </w:r>
      <w:r w:rsidR="00953765" w:rsidRPr="00953765">
        <w:rPr>
          <w:rFonts w:ascii="Century Gothic" w:hAnsi="Century Gothic"/>
        </w:rPr>
        <w:br/>
      </w:r>
    </w:p>
    <w:p w14:paraId="168D69BD" w14:textId="59D9A379" w:rsidR="00100596" w:rsidRDefault="00100596" w:rsidP="00100596">
      <w:pPr>
        <w:pStyle w:val="PlainText"/>
        <w:numPr>
          <w:ilvl w:val="0"/>
          <w:numId w:val="1"/>
        </w:numPr>
        <w:rPr>
          <w:rFonts w:ascii="Century Gothic" w:hAnsi="Century Gothic"/>
        </w:rPr>
      </w:pPr>
      <w:r w:rsidRPr="00953765">
        <w:rPr>
          <w:rFonts w:ascii="Century Gothic" w:hAnsi="Century Gothic"/>
        </w:rPr>
        <w:t xml:space="preserve">It removes the duplicate regulatory structures for PAs working with MDs and DOs, placing all PA licensing under the Medical Commission. </w:t>
      </w:r>
    </w:p>
    <w:p w14:paraId="0D612CF4" w14:textId="640657DE" w:rsidR="00D45F8A" w:rsidRDefault="00D45F8A" w:rsidP="00D45F8A">
      <w:pPr>
        <w:pStyle w:val="PlainText"/>
        <w:rPr>
          <w:rFonts w:ascii="Century Gothic" w:hAnsi="Century Gothic"/>
        </w:rPr>
      </w:pPr>
    </w:p>
    <w:p w14:paraId="6265C792" w14:textId="71A61ECF" w:rsidR="00D45F8A" w:rsidRPr="00380CDF" w:rsidRDefault="00D45F8A" w:rsidP="00D45F8A">
      <w:pPr>
        <w:pStyle w:val="PlainText"/>
        <w:rPr>
          <w:rFonts w:ascii="Century Gothic" w:hAnsi="Century Gothic"/>
          <w:b/>
          <w:bCs/>
        </w:rPr>
      </w:pPr>
      <w:r w:rsidRPr="00380CDF">
        <w:rPr>
          <w:rFonts w:ascii="Century Gothic" w:hAnsi="Century Gothic"/>
          <w:b/>
          <w:bCs/>
        </w:rPr>
        <w:t>What is WAPA doing right now?</w:t>
      </w:r>
      <w:r w:rsidR="00CA5276" w:rsidRPr="00380CDF">
        <w:rPr>
          <w:rFonts w:ascii="Century Gothic" w:hAnsi="Century Gothic"/>
          <w:b/>
          <w:bCs/>
        </w:rPr>
        <w:t xml:space="preserve"> How is WAPA responding</w:t>
      </w:r>
      <w:r w:rsidR="002335B2">
        <w:rPr>
          <w:rFonts w:ascii="Century Gothic" w:hAnsi="Century Gothic"/>
          <w:b/>
          <w:bCs/>
        </w:rPr>
        <w:t>? W</w:t>
      </w:r>
      <w:r w:rsidR="00195CD7">
        <w:rPr>
          <w:rFonts w:ascii="Century Gothic" w:hAnsi="Century Gothic"/>
          <w:b/>
          <w:bCs/>
        </w:rPr>
        <w:t xml:space="preserve">hat is being done to allow me the </w:t>
      </w:r>
      <w:r w:rsidR="00CA5276" w:rsidRPr="00380CDF">
        <w:rPr>
          <w:rFonts w:ascii="Century Gothic" w:hAnsi="Century Gothic"/>
          <w:b/>
          <w:bCs/>
        </w:rPr>
        <w:t>ability to practice?</w:t>
      </w:r>
    </w:p>
    <w:p w14:paraId="1BCE2FA7" w14:textId="77777777" w:rsidR="00380CDF" w:rsidRPr="00953765" w:rsidRDefault="00380CDF" w:rsidP="00D45F8A">
      <w:pPr>
        <w:pStyle w:val="PlainText"/>
        <w:rPr>
          <w:rFonts w:ascii="Century Gothic" w:hAnsi="Century Gothic"/>
        </w:rPr>
      </w:pPr>
    </w:p>
    <w:p w14:paraId="512AD156" w14:textId="7E8C7386" w:rsidR="00D45F8A" w:rsidRPr="002335B2" w:rsidRDefault="00FB7355" w:rsidP="002335B2">
      <w:pPr>
        <w:pStyle w:val="ListParagraph"/>
        <w:numPr>
          <w:ilvl w:val="0"/>
          <w:numId w:val="3"/>
        </w:numPr>
        <w:rPr>
          <w:rFonts w:eastAsia="Times New Roman"/>
          <w:color w:val="000000"/>
          <w:sz w:val="24"/>
          <w:szCs w:val="24"/>
        </w:rPr>
      </w:pPr>
      <w:r w:rsidRPr="002335B2">
        <w:rPr>
          <w:rFonts w:eastAsia="Times New Roman"/>
          <w:color w:val="000000"/>
          <w:sz w:val="24"/>
          <w:szCs w:val="24"/>
        </w:rPr>
        <w:t>WAPA has met with and is continuing to meet and work with the Washington State Medical Association (WSMA) to discuss bill language and support</w:t>
      </w:r>
    </w:p>
    <w:p w14:paraId="6D38CE18" w14:textId="3919F837" w:rsidR="00FB7355" w:rsidRPr="002335B2" w:rsidRDefault="00C7776E" w:rsidP="002335B2">
      <w:pPr>
        <w:pStyle w:val="ListParagraph"/>
        <w:numPr>
          <w:ilvl w:val="0"/>
          <w:numId w:val="3"/>
        </w:numPr>
        <w:rPr>
          <w:rFonts w:eastAsia="Times New Roman"/>
          <w:color w:val="000000"/>
          <w:sz w:val="24"/>
          <w:szCs w:val="24"/>
        </w:rPr>
      </w:pPr>
      <w:r w:rsidRPr="002335B2">
        <w:rPr>
          <w:rFonts w:eastAsia="Times New Roman"/>
          <w:color w:val="000000"/>
          <w:sz w:val="24"/>
          <w:szCs w:val="24"/>
        </w:rPr>
        <w:t>Eileen Ravella</w:t>
      </w:r>
      <w:r w:rsidR="002335B2">
        <w:rPr>
          <w:rFonts w:eastAsia="Times New Roman"/>
          <w:color w:val="000000"/>
          <w:sz w:val="24"/>
          <w:szCs w:val="24"/>
        </w:rPr>
        <w:t>, WAPA President, has</w:t>
      </w:r>
      <w:r w:rsidRPr="002335B2">
        <w:rPr>
          <w:rFonts w:eastAsia="Times New Roman"/>
          <w:color w:val="000000"/>
          <w:sz w:val="24"/>
          <w:szCs w:val="24"/>
        </w:rPr>
        <w:t xml:space="preserve"> met with the ARNP legislative chair and nurse anesthe</w:t>
      </w:r>
      <w:r w:rsidR="000B6387">
        <w:rPr>
          <w:rFonts w:eastAsia="Times New Roman"/>
          <w:color w:val="000000"/>
          <w:sz w:val="24"/>
          <w:szCs w:val="24"/>
        </w:rPr>
        <w:t>t</w:t>
      </w:r>
      <w:r w:rsidRPr="002335B2">
        <w:rPr>
          <w:rFonts w:eastAsia="Times New Roman"/>
          <w:color w:val="000000"/>
          <w:sz w:val="24"/>
          <w:szCs w:val="24"/>
        </w:rPr>
        <w:t>ists to discuss common ground issues</w:t>
      </w:r>
    </w:p>
    <w:p w14:paraId="5741903E" w14:textId="1AE79502" w:rsidR="00D45F8A" w:rsidRPr="002335B2" w:rsidRDefault="00093094" w:rsidP="002335B2">
      <w:pPr>
        <w:pStyle w:val="ListParagraph"/>
        <w:numPr>
          <w:ilvl w:val="0"/>
          <w:numId w:val="3"/>
        </w:numPr>
        <w:rPr>
          <w:rFonts w:eastAsia="Times New Roman"/>
          <w:color w:val="000000"/>
          <w:sz w:val="24"/>
          <w:szCs w:val="24"/>
        </w:rPr>
      </w:pPr>
      <w:r w:rsidRPr="002335B2">
        <w:rPr>
          <w:rFonts w:eastAsia="Times New Roman"/>
          <w:color w:val="000000"/>
          <w:sz w:val="24"/>
          <w:szCs w:val="24"/>
        </w:rPr>
        <w:t>WAPA is doing outreach activities such as DOC PA pay: PAs covering and arranging transfers in rural ER settings</w:t>
      </w:r>
    </w:p>
    <w:p w14:paraId="414C1EFE" w14:textId="4C684FCB" w:rsidR="00985ECC" w:rsidRPr="002335B2" w:rsidRDefault="00985ECC" w:rsidP="002335B2">
      <w:pPr>
        <w:pStyle w:val="ListParagraph"/>
        <w:numPr>
          <w:ilvl w:val="0"/>
          <w:numId w:val="3"/>
        </w:numPr>
        <w:rPr>
          <w:rFonts w:eastAsia="Times New Roman"/>
          <w:color w:val="000000"/>
          <w:sz w:val="24"/>
          <w:szCs w:val="24"/>
        </w:rPr>
      </w:pPr>
      <w:r w:rsidRPr="002335B2">
        <w:rPr>
          <w:rFonts w:eastAsia="Times New Roman"/>
          <w:color w:val="000000"/>
          <w:sz w:val="24"/>
          <w:szCs w:val="24"/>
        </w:rPr>
        <w:t>WAPA is working with the Medical Commission to expediate delayed delegation agreement</w:t>
      </w:r>
      <w:r w:rsidR="00281EAA" w:rsidRPr="002335B2">
        <w:rPr>
          <w:rFonts w:eastAsia="Times New Roman"/>
          <w:color w:val="000000"/>
          <w:sz w:val="24"/>
          <w:szCs w:val="24"/>
        </w:rPr>
        <w:t>s</w:t>
      </w:r>
    </w:p>
    <w:p w14:paraId="58C9F6DC" w14:textId="351B0B85" w:rsidR="00281EAA" w:rsidRPr="002335B2" w:rsidRDefault="00281EAA" w:rsidP="002335B2">
      <w:pPr>
        <w:pStyle w:val="ListParagraph"/>
        <w:numPr>
          <w:ilvl w:val="0"/>
          <w:numId w:val="3"/>
        </w:numPr>
        <w:rPr>
          <w:rFonts w:eastAsia="Times New Roman"/>
          <w:color w:val="000000"/>
          <w:sz w:val="24"/>
          <w:szCs w:val="24"/>
        </w:rPr>
      </w:pPr>
      <w:r w:rsidRPr="002335B2">
        <w:rPr>
          <w:rFonts w:eastAsia="Times New Roman"/>
          <w:color w:val="000000"/>
          <w:sz w:val="24"/>
          <w:szCs w:val="24"/>
        </w:rPr>
        <w:t xml:space="preserve">WAPA is working on PAs taking first call at Providence </w:t>
      </w:r>
      <w:r w:rsidR="002335B2" w:rsidRPr="002335B2">
        <w:rPr>
          <w:rFonts w:eastAsia="Times New Roman"/>
          <w:color w:val="000000"/>
          <w:sz w:val="24"/>
          <w:szCs w:val="24"/>
        </w:rPr>
        <w:t>Health and Services</w:t>
      </w:r>
    </w:p>
    <w:p w14:paraId="1EDA1A0E" w14:textId="30263EA3" w:rsidR="00953765" w:rsidRDefault="00953765">
      <w:pPr>
        <w:rPr>
          <w:rFonts w:ascii="Century Gothic" w:hAnsi="Century Gothic"/>
        </w:rPr>
      </w:pPr>
    </w:p>
    <w:p w14:paraId="463DCBDB" w14:textId="0F8431DB" w:rsidR="00953765" w:rsidRPr="006B30FF" w:rsidRDefault="00953765">
      <w:pPr>
        <w:rPr>
          <w:rFonts w:ascii="Century Gothic" w:hAnsi="Century Gothic"/>
          <w:b/>
          <w:bCs/>
        </w:rPr>
      </w:pPr>
      <w:r w:rsidRPr="006B30FF">
        <w:rPr>
          <w:rFonts w:ascii="Century Gothic" w:hAnsi="Century Gothic"/>
          <w:b/>
          <w:bCs/>
        </w:rPr>
        <w:t>Join us February 5, 2020 in Olympia for WAPA’s PA Lobby Day.</w:t>
      </w:r>
    </w:p>
    <w:p w14:paraId="15DCB17A" w14:textId="3B028074" w:rsidR="00953765" w:rsidRDefault="00953765">
      <w:pPr>
        <w:rPr>
          <w:rFonts w:ascii="Century Gothic" w:hAnsi="Century Gothic"/>
        </w:rPr>
      </w:pPr>
      <w:r>
        <w:rPr>
          <w:rFonts w:ascii="Century Gothic" w:hAnsi="Century Gothic"/>
        </w:rPr>
        <w:t xml:space="preserve">For more information, please visit us online: </w:t>
      </w:r>
      <w:hyperlink r:id="rId9" w:history="1">
        <w:r w:rsidRPr="00975A3C">
          <w:rPr>
            <w:rStyle w:val="Hyperlink"/>
            <w:rFonts w:ascii="Century Gothic" w:hAnsi="Century Gothic"/>
          </w:rPr>
          <w:t>www.WAPA.com</w:t>
        </w:r>
      </w:hyperlink>
      <w:bookmarkStart w:id="0" w:name="_GoBack"/>
      <w:bookmarkEnd w:id="0"/>
    </w:p>
    <w:p w14:paraId="232F5F1E" w14:textId="0BEBDB21" w:rsidR="00953765" w:rsidRDefault="00953765">
      <w:pPr>
        <w:rPr>
          <w:rFonts w:ascii="Century Gothic" w:hAnsi="Century Gothic"/>
        </w:rPr>
      </w:pPr>
    </w:p>
    <w:p w14:paraId="14713AA8" w14:textId="7860B30E" w:rsidR="00953765" w:rsidRPr="00953765" w:rsidRDefault="00953765" w:rsidP="00953765">
      <w:pPr>
        <w:jc w:val="center"/>
        <w:rPr>
          <w:rFonts w:ascii="Century Gothic" w:hAnsi="Century Gothic"/>
          <w:sz w:val="16"/>
          <w:szCs w:val="16"/>
        </w:rPr>
      </w:pPr>
      <w:r w:rsidRPr="00953765">
        <w:rPr>
          <w:rFonts w:ascii="Century Gothic" w:hAnsi="Century Gothic"/>
          <w:sz w:val="16"/>
          <w:szCs w:val="16"/>
        </w:rPr>
        <w:t>Washington Academy of Physician Assistants</w:t>
      </w:r>
      <w:r w:rsidRPr="00953765">
        <w:rPr>
          <w:rFonts w:ascii="Century Gothic" w:hAnsi="Century Gothic"/>
          <w:sz w:val="16"/>
          <w:szCs w:val="16"/>
        </w:rPr>
        <w:br/>
        <w:t>2001 Sixth Ave. Suite 2700</w:t>
      </w:r>
      <w:r w:rsidRPr="00953765">
        <w:rPr>
          <w:rFonts w:ascii="Century Gothic" w:hAnsi="Century Gothic"/>
          <w:sz w:val="16"/>
          <w:szCs w:val="16"/>
        </w:rPr>
        <w:br/>
        <w:t>Seattle, WA 98121</w:t>
      </w:r>
      <w:r w:rsidRPr="00953765">
        <w:rPr>
          <w:rFonts w:ascii="Century Gothic" w:hAnsi="Century Gothic"/>
          <w:sz w:val="16"/>
          <w:szCs w:val="16"/>
        </w:rPr>
        <w:br/>
      </w:r>
      <w:hyperlink r:id="rId10" w:history="1">
        <w:r w:rsidRPr="00953765">
          <w:rPr>
            <w:rStyle w:val="Hyperlink"/>
            <w:rFonts w:ascii="Century Gothic" w:hAnsi="Century Gothic"/>
            <w:sz w:val="16"/>
            <w:szCs w:val="16"/>
          </w:rPr>
          <w:t>www.WAPA.com</w:t>
        </w:r>
      </w:hyperlink>
      <w:r w:rsidRPr="00953765">
        <w:rPr>
          <w:rFonts w:ascii="Century Gothic" w:hAnsi="Century Gothic"/>
          <w:sz w:val="16"/>
          <w:szCs w:val="16"/>
        </w:rPr>
        <w:br/>
        <w:t>206-956-3624</w:t>
      </w:r>
      <w:r w:rsidRPr="00953765">
        <w:rPr>
          <w:rFonts w:ascii="Century Gothic" w:hAnsi="Century Gothic"/>
          <w:sz w:val="16"/>
          <w:szCs w:val="16"/>
        </w:rPr>
        <w:br/>
        <w:t>wapa@wapa.com</w:t>
      </w:r>
    </w:p>
    <w:sectPr w:rsidR="00953765" w:rsidRPr="00953765" w:rsidSect="002335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8428B"/>
    <w:multiLevelType w:val="hybridMultilevel"/>
    <w:tmpl w:val="3366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F23CBD"/>
    <w:multiLevelType w:val="hybridMultilevel"/>
    <w:tmpl w:val="35D0EA5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96"/>
    <w:rsid w:val="00046294"/>
    <w:rsid w:val="00093094"/>
    <w:rsid w:val="000B6387"/>
    <w:rsid w:val="00100596"/>
    <w:rsid w:val="00195CD7"/>
    <w:rsid w:val="002335B2"/>
    <w:rsid w:val="00281EAA"/>
    <w:rsid w:val="00380CDF"/>
    <w:rsid w:val="006B30FF"/>
    <w:rsid w:val="00953765"/>
    <w:rsid w:val="00985ECC"/>
    <w:rsid w:val="00C7776E"/>
    <w:rsid w:val="00CA5276"/>
    <w:rsid w:val="00D45F8A"/>
    <w:rsid w:val="00EF01EA"/>
    <w:rsid w:val="00FB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F2FF"/>
  <w15:chartTrackingRefBased/>
  <w15:docId w15:val="{9D0FF6AC-32CB-4E89-A45F-BCFA7D72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00596"/>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100596"/>
    <w:rPr>
      <w:rFonts w:ascii="Calibri" w:hAnsi="Calibri" w:cs="Calibri"/>
    </w:rPr>
  </w:style>
  <w:style w:type="character" w:styleId="Hyperlink">
    <w:name w:val="Hyperlink"/>
    <w:basedOn w:val="DefaultParagraphFont"/>
    <w:uiPriority w:val="99"/>
    <w:unhideWhenUsed/>
    <w:rsid w:val="00953765"/>
    <w:rPr>
      <w:color w:val="0563C1" w:themeColor="hyperlink"/>
      <w:u w:val="single"/>
    </w:rPr>
  </w:style>
  <w:style w:type="character" w:styleId="UnresolvedMention">
    <w:name w:val="Unresolved Mention"/>
    <w:basedOn w:val="DefaultParagraphFont"/>
    <w:uiPriority w:val="99"/>
    <w:semiHidden/>
    <w:unhideWhenUsed/>
    <w:rsid w:val="00953765"/>
    <w:rPr>
      <w:color w:val="605E5C"/>
      <w:shd w:val="clear" w:color="auto" w:fill="E1DFDD"/>
    </w:rPr>
  </w:style>
  <w:style w:type="paragraph" w:styleId="ListParagraph">
    <w:name w:val="List Paragraph"/>
    <w:basedOn w:val="Normal"/>
    <w:uiPriority w:val="34"/>
    <w:qFormat/>
    <w:rsid w:val="00D45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05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WAPA.com" TargetMode="External"/><Relationship Id="rId4" Type="http://schemas.openxmlformats.org/officeDocument/2006/relationships/numbering" Target="numbering.xml"/><Relationship Id="rId9" Type="http://schemas.openxmlformats.org/officeDocument/2006/relationships/hyperlink" Target="http://www.WA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02C391E36C24DAE2A39D54A587C23" ma:contentTypeVersion="12" ma:contentTypeDescription="Create a new document." ma:contentTypeScope="" ma:versionID="af36ec1bd37d4f769d7483088a68e380">
  <xsd:schema xmlns:xsd="http://www.w3.org/2001/XMLSchema" xmlns:xs="http://www.w3.org/2001/XMLSchema" xmlns:p="http://schemas.microsoft.com/office/2006/metadata/properties" xmlns:ns2="0c5b29f2-1e3e-42f4-94d3-2e2613db106a" xmlns:ns3="b7d311f6-afb5-42a5-a235-fe29e1b09f19" targetNamespace="http://schemas.microsoft.com/office/2006/metadata/properties" ma:root="true" ma:fieldsID="b145ca44a1ccb1ac884a712ab7c8dd43" ns2:_="" ns3:_="">
    <xsd:import namespace="0c5b29f2-1e3e-42f4-94d3-2e2613db106a"/>
    <xsd:import namespace="b7d311f6-afb5-42a5-a235-fe29e1b09f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b29f2-1e3e-42f4-94d3-2e2613db1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11f6-afb5-42a5-a235-fe29e1b09f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D1A248-A564-4762-B147-18CF54B98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b29f2-1e3e-42f4-94d3-2e2613db106a"/>
    <ds:schemaRef ds:uri="b7d311f6-afb5-42a5-a235-fe29e1b0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F8B651-AD0B-40BA-84CB-499EC39D0A0C}">
  <ds:schemaRefs>
    <ds:schemaRef ds:uri="http://schemas.microsoft.com/sharepoint/v3/contenttype/forms"/>
  </ds:schemaRefs>
</ds:datastoreItem>
</file>

<file path=customXml/itemProps3.xml><?xml version="1.0" encoding="utf-8"?>
<ds:datastoreItem xmlns:ds="http://schemas.openxmlformats.org/officeDocument/2006/customXml" ds:itemID="{0AEDECDD-A3B4-424A-9AA6-703C3C7146D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7d311f6-afb5-42a5-a235-fe29e1b09f19"/>
    <ds:schemaRef ds:uri="0c5b29f2-1e3e-42f4-94d3-2e2613db106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Krause</dc:creator>
  <cp:keywords/>
  <dc:description/>
  <cp:lastModifiedBy>Linda Krause</cp:lastModifiedBy>
  <cp:revision>15</cp:revision>
  <cp:lastPrinted>2019-10-01T18:09:00Z</cp:lastPrinted>
  <dcterms:created xsi:type="dcterms:W3CDTF">2019-10-01T18:09:00Z</dcterms:created>
  <dcterms:modified xsi:type="dcterms:W3CDTF">2019-10-01T18:38:00Z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0x01010076602C391E36C24DAE2A39D54A587C23</vt:lpwstr>
  </property>
</Properties>
</file>